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1A" w:rsidRDefault="00A6751A" w:rsidP="00A6751A">
      <w:pPr>
        <w:widowControl/>
        <w:shd w:val="clear" w:color="auto" w:fill="FFFFFF"/>
        <w:spacing w:before="100" w:beforeAutospacing="1" w:after="100" w:afterAutospacing="1" w:line="570" w:lineRule="atLeast"/>
        <w:ind w:firstLineChars="300" w:firstLine="900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FD1D5A" w:rsidRPr="00FD1D5A" w:rsidRDefault="00FD1D5A" w:rsidP="00A6751A">
      <w:pPr>
        <w:widowControl/>
        <w:shd w:val="clear" w:color="auto" w:fill="FFFFFF"/>
        <w:spacing w:before="100" w:beforeAutospacing="1" w:after="100" w:afterAutospacing="1" w:line="570" w:lineRule="atLeast"/>
        <w:ind w:firstLineChars="300" w:firstLine="900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FD1D5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中国银行</w:t>
      </w:r>
      <w:r w:rsidR="0026764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青海省分行2018年校园</w:t>
      </w:r>
      <w:r w:rsidRPr="00FD1D5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招聘</w:t>
      </w:r>
      <w:r w:rsidR="00F16EA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宣讲</w:t>
      </w:r>
      <w:r w:rsidRPr="00FD1D5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AF73DA" w:rsidRPr="00A6751A" w:rsidRDefault="00AF73DA" w:rsidP="00AF73DA">
      <w:pPr>
        <w:widowControl/>
        <w:shd w:val="clear" w:color="auto" w:fill="FFFFFF"/>
        <w:wordWrap w:val="0"/>
        <w:spacing w:before="100" w:beforeAutospacing="1" w:after="100" w:afterAutospacing="1" w:line="390" w:lineRule="atLeast"/>
        <w:ind w:left="720" w:right="105"/>
        <w:jc w:val="right"/>
      </w:pPr>
    </w:p>
    <w:p w:rsidR="00F16EAB" w:rsidRDefault="00F16EAB" w:rsidP="00F16EAB">
      <w:pPr>
        <w:widowControl/>
        <w:shd w:val="clear" w:color="auto" w:fill="FFFFFF"/>
        <w:spacing w:before="100" w:beforeAutospacing="1" w:after="100" w:afterAutospacing="1" w:line="390" w:lineRule="atLeast"/>
        <w:ind w:firstLine="39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中国银行股份有限公司（以下简称“中国银行”）是中国唯一一家持续经营超过百年的银行，也是中国国际化和多元化程度最高的银行，在中国内地及</w:t>
      </w:r>
      <w:r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47</w:t>
      </w:r>
      <w:r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个国家和地区为客户提供全面的金融服务。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中国银行股份有限公司青海省分行（以下简称“中国银行青海省分行”）是中国银行所属的一级分行，</w:t>
      </w:r>
      <w:r w:rsidR="00D92828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成立于</w:t>
      </w:r>
      <w:r w:rsidR="00D92828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1980</w:t>
      </w:r>
      <w:r w:rsidR="00D92828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年，目前</w:t>
      </w:r>
      <w:r w:rsidR="00004DE0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在省内西宁市、海东市、海西州、海南州</w:t>
      </w:r>
      <w:r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共有</w:t>
      </w:r>
      <w:r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47</w:t>
      </w:r>
      <w:r w:rsidR="00004DE0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家经营机构</w:t>
      </w:r>
      <w:r w:rsidR="00D92828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，</w:t>
      </w:r>
      <w:r w:rsidR="00D92828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1200</w:t>
      </w:r>
      <w:r w:rsidR="00D92828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余名员工</w:t>
      </w:r>
      <w:r w:rsidR="00004DE0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。</w:t>
      </w:r>
    </w:p>
    <w:p w:rsidR="00F16EAB" w:rsidRDefault="00FD1D5A" w:rsidP="00F16EAB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36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根据业务发展需要，</w:t>
      </w:r>
      <w:r w:rsidR="00F16EAB"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</w:t>
      </w:r>
      <w:r w:rsid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青海省分行拟</w:t>
      </w:r>
      <w:r w:rsidR="00F16EAB"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启动</w:t>
      </w:r>
      <w:r w:rsid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2018</w:t>
      </w:r>
      <w:r w:rsidR="00F16EAB"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年校园招聘，</w:t>
      </w:r>
      <w:r w:rsid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即日起开展校园招聘宣讲，</w:t>
      </w:r>
      <w:r w:rsidR="00F16EAB" w:rsidRP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相关信息公告如下：</w:t>
      </w:r>
    </w:p>
    <w:p w:rsidR="00FD1D5A" w:rsidRDefault="00FD1D5A" w:rsidP="00F16EAB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361"/>
        <w:jc w:val="left"/>
        <w:rPr>
          <w:rFonts w:ascii="Verdana" w:eastAsia="宋体" w:hAnsi="Verdana" w:cs="宋体"/>
          <w:b/>
          <w:bCs/>
          <w:color w:val="535353"/>
          <w:kern w:val="0"/>
          <w:sz w:val="18"/>
          <w:szCs w:val="18"/>
        </w:rPr>
      </w:pPr>
      <w:r w:rsidRPr="00FD1D5A">
        <w:rPr>
          <w:rFonts w:ascii="Verdana" w:eastAsia="宋体" w:hAnsi="Verdana" w:cs="宋体"/>
          <w:b/>
          <w:bCs/>
          <w:color w:val="535353"/>
          <w:kern w:val="0"/>
          <w:sz w:val="18"/>
          <w:szCs w:val="18"/>
        </w:rPr>
        <w:t>一、招聘职位信息</w:t>
      </w:r>
    </w:p>
    <w:p w:rsidR="00970889" w:rsidRPr="00FD1D5A" w:rsidRDefault="00970889" w:rsidP="00F16EAB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36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初步计划招聘</w:t>
      </w:r>
      <w:r w:rsid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9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0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人，具体信息见下表：</w:t>
      </w:r>
    </w:p>
    <w:tbl>
      <w:tblPr>
        <w:tblW w:w="0" w:type="auto"/>
        <w:jc w:val="center"/>
        <w:tblCellSpacing w:w="0" w:type="dxa"/>
        <w:tblInd w:w="-1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4"/>
        <w:gridCol w:w="1132"/>
        <w:gridCol w:w="1585"/>
        <w:gridCol w:w="2409"/>
      </w:tblGrid>
      <w:tr w:rsidR="00757B2D" w:rsidRPr="00FD1D5A" w:rsidTr="00970889">
        <w:trPr>
          <w:trHeight w:val="759"/>
          <w:tblCellSpacing w:w="0" w:type="dxa"/>
          <w:jc w:val="center"/>
        </w:trPr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B2D" w:rsidRPr="00FD1D5A" w:rsidRDefault="00757B2D" w:rsidP="00FD1D5A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</w:pPr>
            <w:r w:rsidRPr="00FD1D5A"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B2D" w:rsidRPr="00FD1D5A" w:rsidRDefault="00757B2D" w:rsidP="00FD1D5A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</w:pPr>
            <w:r w:rsidRPr="00FD1D5A"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7B2D" w:rsidRDefault="00757B2D" w:rsidP="00757B2D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</w:pPr>
          </w:p>
          <w:p w:rsidR="00757B2D" w:rsidRPr="00FD1D5A" w:rsidRDefault="00757B2D" w:rsidP="00757B2D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7B2D" w:rsidRDefault="00757B2D" w:rsidP="00FD1D5A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</w:pPr>
          </w:p>
          <w:p w:rsidR="00757B2D" w:rsidRPr="00FD1D5A" w:rsidRDefault="00757B2D" w:rsidP="00FD1D5A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b/>
                <w:bCs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535353"/>
                <w:kern w:val="0"/>
                <w:sz w:val="18"/>
                <w:szCs w:val="18"/>
              </w:rPr>
              <w:t>备注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7B2D" w:rsidRPr="00FD1D5A" w:rsidRDefault="001C1842" w:rsidP="001C1842">
            <w:pPr>
              <w:widowControl/>
              <w:spacing w:line="300" w:lineRule="atLeast"/>
              <w:ind w:firstLineChars="100" w:firstLine="180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营业网点</w:t>
            </w:r>
            <w:r w:rsid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营销服务岗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B2D" w:rsidRPr="00FD1D5A" w:rsidRDefault="00757B2D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40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FD1D5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西宁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西宁市区</w:t>
            </w:r>
            <w:r w:rsidR="00D92828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，</w:t>
            </w: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大通县、湟中县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7B2D" w:rsidRDefault="00757B2D" w:rsidP="00FD1D5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Pr="00FD1D5A" w:rsidRDefault="006A0A5D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FD1D5A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海东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D92828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平安区、乐都区</w:t>
            </w:r>
            <w:r w:rsidR="00D92828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，</w:t>
            </w: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互助县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7B2D" w:rsidRDefault="00757B2D" w:rsidP="00FD1D5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Pr="00FD1D5A" w:rsidRDefault="00757B2D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1</w:t>
            </w:r>
            <w:r w:rsidR="006A0A5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FD1D5A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海西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D92828">
            <w:pPr>
              <w:widowControl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格尔木</w:t>
            </w:r>
            <w:r w:rsidR="00D92828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市、德令哈市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Default="00757B2D" w:rsidP="00FD1D5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Pr="00FD1D5A" w:rsidRDefault="00757B2D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FD1D5A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海南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FD1D5A" w:rsidRDefault="00757B2D" w:rsidP="00FD1D5A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共和县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7B2D" w:rsidRPr="00FD1D5A" w:rsidRDefault="00757B2D" w:rsidP="0026764A">
            <w:pPr>
              <w:widowControl/>
              <w:spacing w:line="300" w:lineRule="atLeast"/>
              <w:ind w:firstLineChars="350" w:firstLine="630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柜员岗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B2D" w:rsidRPr="00FD1D5A" w:rsidRDefault="00757B2D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1</w:t>
            </w:r>
            <w:r w:rsidR="00974F09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757B2D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西宁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D92828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西宁市区，</w:t>
            </w:r>
            <w:r w:rsidR="00757B2D"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大通县、湟中县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7B2D" w:rsidRDefault="00757B2D" w:rsidP="00FD1D5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Pr="00FD1D5A" w:rsidRDefault="006546D0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3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757B2D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海东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D92828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平安区、乐都区，</w:t>
            </w:r>
            <w:r w:rsidR="00757B2D"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互助县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57B2D" w:rsidRDefault="00757B2D" w:rsidP="00FD1D5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Pr="00FD1D5A" w:rsidRDefault="006546D0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757B2D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海西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757B2D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格尔木</w:t>
            </w:r>
            <w:r w:rsidR="00D92828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市</w:t>
            </w:r>
            <w:r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、德令哈</w:t>
            </w:r>
            <w:r w:rsidR="00D92828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市</w:t>
            </w:r>
          </w:p>
        </w:tc>
      </w:tr>
      <w:tr w:rsidR="00757B2D" w:rsidRPr="00FD1D5A" w:rsidTr="00970889">
        <w:trPr>
          <w:tblCellSpacing w:w="0" w:type="dxa"/>
          <w:jc w:val="center"/>
        </w:trPr>
        <w:tc>
          <w:tcPr>
            <w:tcW w:w="2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Default="00757B2D" w:rsidP="00FD1D5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B2D" w:rsidRPr="00FD1D5A" w:rsidRDefault="006A0A5D" w:rsidP="00D92828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757B2D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海南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B2D" w:rsidRPr="00757B2D" w:rsidRDefault="00757B2D" w:rsidP="00757B2D">
            <w:pPr>
              <w:widowControl/>
              <w:jc w:val="left"/>
              <w:rPr>
                <w:rFonts w:ascii="Verdana" w:eastAsia="宋体" w:hAnsi="Verdana" w:cs="宋体"/>
                <w:color w:val="535353"/>
                <w:kern w:val="0"/>
                <w:sz w:val="18"/>
                <w:szCs w:val="18"/>
              </w:rPr>
            </w:pPr>
            <w:r w:rsidRPr="00757B2D">
              <w:rPr>
                <w:rFonts w:ascii="Verdana" w:eastAsia="宋体" w:hAnsi="Verdana" w:cs="宋体" w:hint="eastAsia"/>
                <w:color w:val="535353"/>
                <w:kern w:val="0"/>
                <w:sz w:val="18"/>
                <w:szCs w:val="18"/>
              </w:rPr>
              <w:t>共和县</w:t>
            </w:r>
          </w:p>
        </w:tc>
      </w:tr>
    </w:tbl>
    <w:p w:rsidR="00FD1D5A" w:rsidRPr="00FD1D5A" w:rsidRDefault="00FD1D5A" w:rsidP="00AF73DA">
      <w:pPr>
        <w:widowControl/>
        <w:shd w:val="clear" w:color="auto" w:fill="FFFFFF"/>
        <w:spacing w:before="100" w:beforeAutospacing="1" w:after="100" w:afterAutospacing="1" w:line="390" w:lineRule="atLeast"/>
        <w:ind w:firstLineChars="40" w:firstLine="72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FD1D5A">
        <w:rPr>
          <w:rFonts w:ascii="Verdana" w:eastAsia="宋体" w:hAnsi="Verdana" w:cs="宋体"/>
          <w:b/>
          <w:bCs/>
          <w:color w:val="535353"/>
          <w:kern w:val="0"/>
          <w:sz w:val="18"/>
          <w:szCs w:val="18"/>
        </w:rPr>
        <w:t>二、基本资格条件</w:t>
      </w:r>
    </w:p>
    <w:p w:rsidR="000D5BBB" w:rsidRPr="000D5BBB" w:rsidRDefault="000D5BBB" w:rsidP="000D5BBB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>（一）遵纪守法、诚实守信，具有良好的个人品质和职业道德，无不良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行为</w:t>
      </w: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>记录，愿意履行中国银行员工义务和岗位职责；</w:t>
      </w:r>
    </w:p>
    <w:p w:rsidR="000D5BBB" w:rsidRPr="000D5BBB" w:rsidRDefault="000D5BBB" w:rsidP="000D5BBB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>（二）具有与岗位要求相适应的专业、学历及能力素质；</w:t>
      </w:r>
    </w:p>
    <w:p w:rsidR="000D5BBB" w:rsidRPr="000D5BBB" w:rsidRDefault="000D5BBB" w:rsidP="000D5BBB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lastRenderedPageBreak/>
        <w:t>（三）具有较好的团队合作精神、语言沟通能力和学习能力；</w:t>
      </w:r>
    </w:p>
    <w:p w:rsidR="000D5BBB" w:rsidRPr="000D5BBB" w:rsidRDefault="000D5BBB" w:rsidP="000D5BBB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>（四）</w:t>
      </w:r>
      <w:r w:rsidRPr="000D5BB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具有正常履行工作职责的身体条件，符合《公务员录用体检通用标准（试行）》（</w:t>
      </w:r>
      <w:r w:rsidRPr="000D5BB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2010</w:t>
      </w:r>
      <w:r w:rsidRPr="000D5BB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年修订）、《公务员录用体检操作手册（试行）》（</w:t>
      </w:r>
      <w:r w:rsidRPr="000D5BB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2010</w:t>
      </w:r>
      <w:r w:rsidRPr="000D5BB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年修订）的相关规定，具备健康良好的心理素质；</w:t>
      </w: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 xml:space="preserve"> </w:t>
      </w:r>
    </w:p>
    <w:p w:rsidR="000D5BBB" w:rsidRPr="000D5BBB" w:rsidRDefault="000D5BBB" w:rsidP="000D5BBB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>（五）符合</w:t>
      </w:r>
      <w:r w:rsidRPr="000D5BB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</w:t>
      </w: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>亲属回避的有关规定；</w:t>
      </w:r>
      <w:r w:rsidRPr="000D5BBB">
        <w:rPr>
          <w:rFonts w:ascii="Verdana" w:eastAsia="宋体" w:hAnsi="Verdana" w:cs="宋体"/>
          <w:color w:val="535353"/>
          <w:kern w:val="0"/>
          <w:sz w:val="18"/>
          <w:szCs w:val="18"/>
        </w:rPr>
        <w:t xml:space="preserve"> </w:t>
      </w:r>
    </w:p>
    <w:p w:rsidR="00810B9D" w:rsidRPr="00810B9D" w:rsidRDefault="00A6751A" w:rsidP="00810B9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>
        <w:rPr>
          <w:rFonts w:ascii="Verdana" w:eastAsia="宋体" w:hAnsi="Verdana" w:cs="宋体"/>
          <w:color w:val="535353"/>
          <w:kern w:val="0"/>
          <w:sz w:val="18"/>
          <w:szCs w:val="18"/>
        </w:rPr>
        <w:t>（六）岗位要求具备的其他条件</w:t>
      </w:r>
      <w:r w:rsid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。</w:t>
      </w:r>
    </w:p>
    <w:p w:rsidR="00810B9D" w:rsidRPr="00C67E5D" w:rsidRDefault="00C67E5D" w:rsidP="000D5BBB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b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b/>
          <w:color w:val="535353"/>
          <w:kern w:val="0"/>
          <w:sz w:val="18"/>
          <w:szCs w:val="18"/>
        </w:rPr>
        <w:t>三、各岗位具体条件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（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一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）营业网点营销服务岗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、国内外较好院校应届毕业生；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、全日制大学本科及以上学历，经济金融、管理、外语、计算机</w:t>
      </w:r>
      <w:r w:rsidR="00D92828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及理工</w:t>
      </w:r>
      <w:r w:rsidR="001A66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类</w:t>
      </w:r>
      <w:r w:rsidR="00695A44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等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专业。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3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、具有较好的英语听说读写能力，应通过国家大学英语四级（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CET4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）考试，或提供具备相应英语能力的资格证明（如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TOEIC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听读公开考试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630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分以上、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TOEFL iBT 70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分以上、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IELTS 5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5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分以上）；主修语种为其他外语，通过相应外语水平考试的，可适当放宽上述英语等级要求；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4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、具有较好的基本素质、服务观念和协作精神，有较强的责任感和良好的学习能力与表达沟通能力；</w:t>
      </w:r>
    </w:p>
    <w:p w:rsidR="00AF73DA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5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、身心健康、品行端正、无不良行为记录。</w:t>
      </w:r>
    </w:p>
    <w:p w:rsidR="00C67E5D" w:rsidRPr="00C67E5D" w:rsidRDefault="00AF73DA" w:rsidP="00AF73DA">
      <w:pPr>
        <w:widowControl/>
        <w:shd w:val="clear" w:color="auto" w:fill="FFFFFF"/>
        <w:spacing w:before="100" w:beforeAutospacing="1" w:after="100" w:afterAutospacing="1" w:line="390" w:lineRule="atLeast"/>
        <w:ind w:firstLineChars="250" w:firstLine="45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营销服务岗人员聘用后将</w:t>
      </w:r>
      <w:r w:rsidRP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先安排到柜员等岗位培养锻炼</w:t>
      </w:r>
      <w:r w:rsidRP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</w:t>
      </w:r>
      <w:r w:rsidRP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－</w:t>
      </w:r>
      <w:r w:rsidRP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3</w:t>
      </w:r>
      <w:r w:rsidRP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年，之后综合考虑工作表现、个人素质等情况，按程序聘任到营销服务岗位工作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。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（</w:t>
      </w:r>
      <w:r w:rsidRP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二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）营业网点柜员岗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、国内外院校应届毕业生，同时少量招收银行同业人员（要求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30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周岁以下、从事银行柜员或相关工作）和毕业两年内的在职人员；</w:t>
      </w:r>
    </w:p>
    <w:p w:rsidR="00695A44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</w:t>
      </w:r>
      <w:r w:rsidR="00695A44"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、全日制大学本科及以上学历，经济金融、管理、外语、计算机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及理工</w:t>
      </w:r>
      <w:r w:rsidR="00695A44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类等专业。</w:t>
      </w:r>
    </w:p>
    <w:p w:rsidR="00C67E5D" w:rsidRP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3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、具有较好的客户服务意识、语言沟通能力和学习能力；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 xml:space="preserve"> </w:t>
      </w:r>
    </w:p>
    <w:p w:rsidR="00C67E5D" w:rsidRDefault="00C67E5D" w:rsidP="00C67E5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4</w:t>
      </w:r>
      <w:r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、身心健康、品行端正、无不良行为记录。</w:t>
      </w:r>
    </w:p>
    <w:p w:rsidR="00A155F2" w:rsidRPr="00A155F2" w:rsidRDefault="00A155F2" w:rsidP="00A155F2">
      <w:pPr>
        <w:widowControl/>
        <w:shd w:val="clear" w:color="auto" w:fill="FFFFFF"/>
        <w:spacing w:before="100" w:beforeAutospacing="1" w:after="100" w:afterAutospacing="1" w:line="390" w:lineRule="atLeast"/>
        <w:ind w:firstLineChars="300" w:firstLine="54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A155F2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申报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海西州</w:t>
      </w:r>
      <w:r w:rsidRPr="00A155F2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、海南州分支机构柜员岗位的学历要求</w:t>
      </w:r>
      <w:r w:rsidR="00995260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可</w:t>
      </w:r>
      <w:r w:rsidRPr="00A155F2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放宽至大学专科及以上学历。</w:t>
      </w:r>
      <w:bookmarkStart w:id="0" w:name="_GoBack"/>
      <w:bookmarkEnd w:id="0"/>
    </w:p>
    <w:p w:rsidR="00FD1D5A" w:rsidRDefault="00121F2F" w:rsidP="00FD1D5A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b/>
          <w:bCs/>
          <w:color w:val="535353"/>
          <w:kern w:val="0"/>
          <w:sz w:val="18"/>
          <w:szCs w:val="18"/>
        </w:rPr>
      </w:pPr>
      <w:r>
        <w:rPr>
          <w:rFonts w:ascii="Verdana" w:eastAsia="宋体" w:hAnsi="Verdana" w:cs="宋体" w:hint="eastAsia"/>
          <w:b/>
          <w:bCs/>
          <w:color w:val="535353"/>
          <w:kern w:val="0"/>
          <w:sz w:val="18"/>
          <w:szCs w:val="18"/>
        </w:rPr>
        <w:lastRenderedPageBreak/>
        <w:t>四</w:t>
      </w:r>
      <w:r w:rsidR="00810B9D">
        <w:rPr>
          <w:rFonts w:ascii="Verdana" w:eastAsia="宋体" w:hAnsi="Verdana" w:cs="宋体"/>
          <w:b/>
          <w:bCs/>
          <w:color w:val="535353"/>
          <w:kern w:val="0"/>
          <w:sz w:val="18"/>
          <w:szCs w:val="18"/>
        </w:rPr>
        <w:t>、应聘</w:t>
      </w:r>
      <w:r w:rsidR="00810B9D">
        <w:rPr>
          <w:rFonts w:ascii="Verdana" w:eastAsia="宋体" w:hAnsi="Verdana" w:cs="宋体" w:hint="eastAsia"/>
          <w:b/>
          <w:bCs/>
          <w:color w:val="535353"/>
          <w:kern w:val="0"/>
          <w:sz w:val="18"/>
          <w:szCs w:val="18"/>
        </w:rPr>
        <w:t>程序</w:t>
      </w:r>
    </w:p>
    <w:p w:rsidR="00C67E5D" w:rsidRPr="00970889" w:rsidRDefault="00AF73DA" w:rsidP="00970889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36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中国银行青海省分行将在中国银行总行统一</w:t>
      </w:r>
      <w:r w:rsidR="00F16EA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安排下</w:t>
      </w:r>
      <w:r w:rsidR="00970889"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开展校园招聘工作。预计</w:t>
      </w:r>
      <w:r w:rsidR="00810B9D"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中国银行将于</w:t>
      </w:r>
      <w:r w:rsidR="00810B9D"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9</w:t>
      </w:r>
      <w:r w:rsidR="00810B9D"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月下旬至</w:t>
      </w:r>
      <w:r w:rsidR="00810B9D"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10</w:t>
      </w:r>
      <w:r w:rsidR="00810B9D"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月上旬启动校园招聘报名工作。请有意应聘者关注中国银行门户网站招</w:t>
      </w:r>
      <w:r w:rsidR="00C67E5D"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聘公告。应聘报名程序如下：</w:t>
      </w:r>
    </w:p>
    <w:p w:rsidR="00810B9D" w:rsidRPr="00810B9D" w:rsidRDefault="00810B9D" w:rsidP="00810B9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（一）</w:t>
      </w:r>
      <w:r w:rsidR="00C67E5D">
        <w:rPr>
          <w:rFonts w:ascii="Verdana" w:eastAsia="宋体" w:hAnsi="Verdana" w:cs="宋体"/>
          <w:color w:val="535353"/>
          <w:kern w:val="0"/>
          <w:sz w:val="18"/>
          <w:szCs w:val="18"/>
        </w:rPr>
        <w:t>应聘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者</w:t>
      </w:r>
      <w:r w:rsidRPr="00810B9D">
        <w:rPr>
          <w:rFonts w:ascii="Verdana" w:eastAsia="宋体" w:hAnsi="Verdana" w:cs="宋体"/>
          <w:color w:val="535353"/>
          <w:kern w:val="0"/>
          <w:sz w:val="18"/>
          <w:szCs w:val="18"/>
        </w:rPr>
        <w:t>登录中国银行校园招聘网站查询相关信息，在线注册并填写个人信息后，选择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青海省分行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的</w:t>
      </w:r>
      <w:r w:rsidRPr="00810B9D">
        <w:rPr>
          <w:rFonts w:ascii="Verdana" w:eastAsia="宋体" w:hAnsi="Verdana" w:cs="宋体"/>
          <w:color w:val="535353"/>
          <w:kern w:val="0"/>
          <w:sz w:val="18"/>
          <w:szCs w:val="18"/>
        </w:rPr>
        <w:t>岗位进行在线报名。</w:t>
      </w:r>
    </w:p>
    <w:p w:rsidR="00810B9D" w:rsidRPr="00810B9D" w:rsidRDefault="00810B9D" w:rsidP="00810B9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810B9D">
        <w:rPr>
          <w:rFonts w:ascii="Verdana" w:eastAsia="宋体" w:hAnsi="Verdana" w:cs="宋体"/>
          <w:color w:val="535353"/>
          <w:kern w:val="0"/>
          <w:sz w:val="18"/>
          <w:szCs w:val="18"/>
        </w:rPr>
        <w:t>报名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网址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、报名截</w:t>
      </w:r>
      <w:r w:rsidR="00A675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止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时间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等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见中国银行门户网站招聘公告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（预计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9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月下旬至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10</w:t>
      </w:r>
      <w:r w:rsidR="00FD0A3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月上旬发布）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。</w:t>
      </w:r>
    </w:p>
    <w:p w:rsidR="00810B9D" w:rsidRDefault="00810B9D" w:rsidP="00FD0A35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（二）应聘流程为：</w:t>
      </w:r>
      <w:r w:rsidR="003254CF" w:rsidRPr="00FD0A35">
        <w:rPr>
          <w:rFonts w:ascii="Verdana" w:eastAsia="宋体" w:hAnsi="Verdana" w:cs="宋体" w:hint="eastAsia"/>
          <w:color w:val="535353"/>
          <w:kern w:val="0"/>
          <w:sz w:val="18"/>
          <w:szCs w:val="18"/>
          <w:bdr w:val="dotted" w:sz="4" w:space="0" w:color="auto"/>
        </w:rPr>
        <w:t>宣讲现场简历投递→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在线报名→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简历筛选→确认笔试→统一笔试→面试考核→体检</w:t>
      </w:r>
      <w:r w:rsidR="00C67E5D"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→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择优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确定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录用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人选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。正式报名启动后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应聘者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可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随时登陆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指定网</w:t>
      </w:r>
      <w:r w:rsidR="00A675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站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查询各环节相关信息。</w:t>
      </w:r>
    </w:p>
    <w:p w:rsidR="00810B9D" w:rsidRDefault="00810B9D" w:rsidP="00810B9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（三）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应聘者应对个人填报信息的真实性、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完整性负责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，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如与事实不符，我</w:t>
      </w:r>
      <w:r w:rsidR="00AF73DA" w:rsidRP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行有权取消录用资格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，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简历一旦被筛选，将无法对申报志愿和个人信息进行修改，请慎重选择。同时，请务必保证在线报名时填写的联系方式（包括手机、电子邮件等）正确无误，并保</w:t>
      </w:r>
      <w:r w:rsidR="00A675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持</w:t>
      </w:r>
      <w:r w:rsidRPr="00810B9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通讯畅通。</w:t>
      </w:r>
    </w:p>
    <w:p w:rsidR="00AF73DA" w:rsidRDefault="00AF73DA" w:rsidP="00AF73DA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36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预计中国银行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的校园招聘在线报名将在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9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月下旬至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10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月上旬开始，笔试将在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10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月下旬</w:t>
      </w:r>
      <w:r w:rsidR="00A675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至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11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月初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进行，面试将在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7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月进行，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7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</w:t>
      </w:r>
      <w:r w:rsidR="00F83275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月确定录用人选</w:t>
      </w:r>
      <w:r w:rsidR="00B056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，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2018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</w:t>
      </w:r>
      <w:r w:rsidR="00B056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</w:t>
      </w:r>
      <w:r w:rsidR="00A675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月</w:t>
      </w:r>
      <w:r w:rsidR="00B056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签约</w:t>
      </w:r>
      <w:r w:rsid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。</w:t>
      </w:r>
    </w:p>
    <w:p w:rsidR="00970889" w:rsidRDefault="00970889" w:rsidP="00AF73DA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36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以上公告内容如与即将发布的《</w:t>
      </w:r>
      <w:r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中国银行股份有限公司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2018</w:t>
      </w:r>
      <w:r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年校园招聘公告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》有不符之处，则以《</w:t>
      </w:r>
      <w:r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中国银行股份有限公司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2018</w:t>
      </w:r>
      <w:r w:rsidRPr="00970889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年校园招聘公告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》为</w:t>
      </w:r>
      <w:r w:rsidR="00B0561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准</w:t>
      </w:r>
      <w:r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。</w:t>
      </w:r>
    </w:p>
    <w:p w:rsidR="00FD1D5A" w:rsidRPr="00FD1D5A" w:rsidRDefault="00FD1D5A" w:rsidP="00AF73DA">
      <w:pPr>
        <w:widowControl/>
        <w:shd w:val="clear" w:color="auto" w:fill="FFFFFF"/>
        <w:spacing w:before="100" w:beforeAutospacing="1" w:after="100" w:afterAutospacing="1" w:line="390" w:lineRule="atLeast"/>
        <w:ind w:firstLineChars="200" w:firstLine="360"/>
        <w:jc w:val="left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期待您的参与！</w:t>
      </w:r>
    </w:p>
    <w:p w:rsidR="00970889" w:rsidRDefault="00970889" w:rsidP="00970889">
      <w:pPr>
        <w:widowControl/>
        <w:shd w:val="clear" w:color="auto" w:fill="FFFFFF"/>
        <w:spacing w:before="100" w:beforeAutospacing="1" w:after="100" w:afterAutospacing="1" w:line="390" w:lineRule="atLeast"/>
        <w:ind w:right="360"/>
        <w:rPr>
          <w:rFonts w:ascii="Verdana" w:eastAsia="宋体" w:hAnsi="Verdana" w:cs="宋体"/>
          <w:color w:val="535353"/>
          <w:kern w:val="0"/>
          <w:sz w:val="18"/>
          <w:szCs w:val="18"/>
        </w:rPr>
      </w:pPr>
    </w:p>
    <w:p w:rsidR="00FD1D5A" w:rsidRPr="00FD1D5A" w:rsidRDefault="00FD1D5A" w:rsidP="00970889">
      <w:pPr>
        <w:widowControl/>
        <w:shd w:val="clear" w:color="auto" w:fill="FFFFFF"/>
        <w:spacing w:before="100" w:beforeAutospacing="1" w:after="100" w:afterAutospacing="1" w:line="390" w:lineRule="atLeast"/>
        <w:ind w:leftChars="2236" w:left="5236" w:right="360" w:hangingChars="300" w:hanging="540"/>
        <w:rPr>
          <w:rFonts w:ascii="Verdana" w:eastAsia="宋体" w:hAnsi="Verdana" w:cs="宋体"/>
          <w:color w:val="535353"/>
          <w:kern w:val="0"/>
          <w:sz w:val="18"/>
          <w:szCs w:val="18"/>
        </w:rPr>
      </w:pP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中国银行股份有限公司</w:t>
      </w:r>
      <w:r w:rsidR="00C67E5D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青海省</w:t>
      </w: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分行</w:t>
      </w: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br/>
        <w:t>20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17</w:t>
      </w: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年</w:t>
      </w:r>
      <w:r w:rsidR="00AF73DA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9</w:t>
      </w: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月</w:t>
      </w: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1</w:t>
      </w:r>
      <w:r w:rsidR="006C1FFB">
        <w:rPr>
          <w:rFonts w:ascii="Verdana" w:eastAsia="宋体" w:hAnsi="Verdana" w:cs="宋体" w:hint="eastAsia"/>
          <w:color w:val="535353"/>
          <w:kern w:val="0"/>
          <w:sz w:val="18"/>
          <w:szCs w:val="18"/>
        </w:rPr>
        <w:t>2</w:t>
      </w:r>
      <w:r w:rsidRPr="00FD1D5A">
        <w:rPr>
          <w:rFonts w:ascii="Verdana" w:eastAsia="宋体" w:hAnsi="Verdana" w:cs="宋体"/>
          <w:color w:val="535353"/>
          <w:kern w:val="0"/>
          <w:sz w:val="18"/>
          <w:szCs w:val="18"/>
        </w:rPr>
        <w:t>日</w:t>
      </w:r>
    </w:p>
    <w:p w:rsidR="003433E1" w:rsidRDefault="003433E1"/>
    <w:p w:rsidR="007F77D6" w:rsidRDefault="007F77D6"/>
    <w:sectPr w:rsidR="007F77D6" w:rsidSect="001F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EC" w:rsidRDefault="007C52EC" w:rsidP="00FD1D5A">
      <w:r>
        <w:separator/>
      </w:r>
    </w:p>
  </w:endnote>
  <w:endnote w:type="continuationSeparator" w:id="0">
    <w:p w:rsidR="007C52EC" w:rsidRDefault="007C52EC" w:rsidP="00FD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EC" w:rsidRDefault="007C52EC" w:rsidP="00FD1D5A">
      <w:r>
        <w:separator/>
      </w:r>
    </w:p>
  </w:footnote>
  <w:footnote w:type="continuationSeparator" w:id="0">
    <w:p w:rsidR="007C52EC" w:rsidRDefault="007C52EC" w:rsidP="00FD1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7F2B"/>
    <w:multiLevelType w:val="multilevel"/>
    <w:tmpl w:val="DF4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24A"/>
    <w:rsid w:val="00004DE0"/>
    <w:rsid w:val="000D5BBB"/>
    <w:rsid w:val="00121F2F"/>
    <w:rsid w:val="001371B3"/>
    <w:rsid w:val="0015524D"/>
    <w:rsid w:val="001A66AB"/>
    <w:rsid w:val="001C1842"/>
    <w:rsid w:val="001F14F6"/>
    <w:rsid w:val="00224E3E"/>
    <w:rsid w:val="0026764A"/>
    <w:rsid w:val="002E6458"/>
    <w:rsid w:val="003254CF"/>
    <w:rsid w:val="003433E1"/>
    <w:rsid w:val="00407B78"/>
    <w:rsid w:val="004E7681"/>
    <w:rsid w:val="006546D0"/>
    <w:rsid w:val="00695A44"/>
    <w:rsid w:val="006A0A5D"/>
    <w:rsid w:val="006C1FFB"/>
    <w:rsid w:val="006D1F77"/>
    <w:rsid w:val="00757B2D"/>
    <w:rsid w:val="007913AB"/>
    <w:rsid w:val="007C52EC"/>
    <w:rsid w:val="007F77D6"/>
    <w:rsid w:val="00810B9D"/>
    <w:rsid w:val="00970889"/>
    <w:rsid w:val="00974F09"/>
    <w:rsid w:val="00995260"/>
    <w:rsid w:val="009A5369"/>
    <w:rsid w:val="00A155F2"/>
    <w:rsid w:val="00A6751A"/>
    <w:rsid w:val="00AF73DA"/>
    <w:rsid w:val="00B0561A"/>
    <w:rsid w:val="00B14C69"/>
    <w:rsid w:val="00B9324A"/>
    <w:rsid w:val="00C10EF4"/>
    <w:rsid w:val="00C67E5D"/>
    <w:rsid w:val="00D92828"/>
    <w:rsid w:val="00EC589F"/>
    <w:rsid w:val="00F16EAB"/>
    <w:rsid w:val="00F43032"/>
    <w:rsid w:val="00F83275"/>
    <w:rsid w:val="00FD0A35"/>
    <w:rsid w:val="00FD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D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5B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5BBB"/>
    <w:rPr>
      <w:sz w:val="18"/>
      <w:szCs w:val="18"/>
    </w:rPr>
  </w:style>
  <w:style w:type="paragraph" w:styleId="a6">
    <w:name w:val="List Paragraph"/>
    <w:basedOn w:val="a"/>
    <w:uiPriority w:val="34"/>
    <w:qFormat/>
    <w:rsid w:val="009708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D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5B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5BBB"/>
    <w:rPr>
      <w:sz w:val="18"/>
      <w:szCs w:val="18"/>
    </w:rPr>
  </w:style>
  <w:style w:type="paragraph" w:styleId="a6">
    <w:name w:val="List Paragraph"/>
    <w:basedOn w:val="a"/>
    <w:uiPriority w:val="34"/>
    <w:qFormat/>
    <w:rsid w:val="009708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124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95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880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75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87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283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5409">
                      <w:marLeft w:val="0"/>
                      <w:marRight w:val="0"/>
                      <w:marTop w:val="21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</w:div>
                    <w:div w:id="203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7634-AEA0-4685-8BC7-FDF0C7C1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吴贵文/人力资源部/青海/BOC</dc:creator>
  <cp:lastModifiedBy>微软用户</cp:lastModifiedBy>
  <cp:revision>8</cp:revision>
  <cp:lastPrinted>2017-09-12T02:26:00Z</cp:lastPrinted>
  <dcterms:created xsi:type="dcterms:W3CDTF">2017-09-12T02:25:00Z</dcterms:created>
  <dcterms:modified xsi:type="dcterms:W3CDTF">2017-09-12T07:11:00Z</dcterms:modified>
</cp:coreProperties>
</file>