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0" w:line="300" w:lineRule="auto"/>
        <w:jc w:val="center"/>
        <w:rPr>
          <w:rFonts w:hint="eastAsia" w:ascii="宋体" w:hAnsi="宋体" w:eastAsia="宋体"/>
          <w:b/>
          <w:bCs/>
          <w:sz w:val="36"/>
          <w:szCs w:val="36"/>
          <w:lang w:eastAsia="zh-CN"/>
        </w:rPr>
      </w:pPr>
      <w:r>
        <w:rPr>
          <w:rFonts w:hint="eastAsia" w:ascii="宋体" w:hAnsi="宋体"/>
          <w:b/>
          <w:bCs/>
          <w:sz w:val="36"/>
          <w:szCs w:val="36"/>
          <w:lang w:eastAsia="zh-CN"/>
        </w:rPr>
        <w:t>白银图微新材料科技有限公司简介</w:t>
      </w:r>
    </w:p>
    <w:p>
      <w:pPr>
        <w:adjustRightInd w:val="0"/>
        <w:snapToGrid w:val="0"/>
        <w:spacing w:before="156" w:beforeLines="50" w:after="0" w:line="300" w:lineRule="auto"/>
        <w:ind w:firstLine="480" w:firstLineChars="200"/>
        <w:rPr>
          <w:rFonts w:ascii="宋体" w:hAnsi="宋体"/>
          <w:sz w:val="24"/>
          <w:szCs w:val="24"/>
        </w:rPr>
      </w:pPr>
      <w:r>
        <w:rPr>
          <w:rFonts w:hint="eastAsia" w:ascii="宋体" w:hAnsi="宋体"/>
          <w:sz w:val="24"/>
          <w:szCs w:val="24"/>
        </w:rPr>
        <w:t>白银图微新材料科技有限公司</w:t>
      </w:r>
      <w:r>
        <w:rPr>
          <w:rFonts w:hint="eastAsia" w:ascii="宋体" w:hAnsi="宋体"/>
          <w:sz w:val="24"/>
          <w:szCs w:val="24"/>
          <w:lang w:val="en-US" w:eastAsia="zh-CN"/>
        </w:rPr>
        <w:t>2016年成立于白银科技企业孵化器，</w:t>
      </w:r>
      <w:r>
        <w:rPr>
          <w:rFonts w:hint="eastAsia" w:ascii="宋体" w:hAnsi="宋体"/>
          <w:sz w:val="24"/>
          <w:szCs w:val="24"/>
        </w:rPr>
        <w:t>是一家专业从事新型</w:t>
      </w:r>
      <w:r>
        <w:rPr>
          <w:rFonts w:hint="eastAsia" w:ascii="宋体" w:hAnsi="宋体"/>
          <w:sz w:val="24"/>
          <w:szCs w:val="24"/>
          <w:lang w:eastAsia="zh-CN"/>
        </w:rPr>
        <w:t>特种工程塑料</w:t>
      </w:r>
      <w:r>
        <w:rPr>
          <w:rFonts w:hint="eastAsia" w:ascii="宋体" w:hAnsi="宋体"/>
          <w:sz w:val="24"/>
          <w:szCs w:val="24"/>
        </w:rPr>
        <w:t>研发、应用、生产和器件加工的企业。公司</w:t>
      </w:r>
      <w:r>
        <w:rPr>
          <w:rFonts w:hint="eastAsia" w:ascii="宋体" w:hAnsi="宋体"/>
          <w:sz w:val="24"/>
          <w:szCs w:val="24"/>
          <w:lang w:eastAsia="zh-CN"/>
        </w:rPr>
        <w:t>采用最先进的技术合成了</w:t>
      </w:r>
      <w:r>
        <w:rPr>
          <w:rFonts w:hint="eastAsia" w:ascii="宋体" w:hAnsi="宋体"/>
          <w:sz w:val="24"/>
          <w:szCs w:val="24"/>
        </w:rPr>
        <w:t>一种全新的高分子材料，</w:t>
      </w:r>
      <w:r>
        <w:rPr>
          <w:rFonts w:hint="eastAsia" w:ascii="宋体" w:hAnsi="宋体"/>
          <w:sz w:val="24"/>
          <w:szCs w:val="24"/>
          <w:lang w:eastAsia="zh-CN"/>
        </w:rPr>
        <w:t>并</w:t>
      </w:r>
      <w:r>
        <w:rPr>
          <w:rFonts w:hint="eastAsia" w:ascii="宋体" w:hAnsi="宋体"/>
          <w:sz w:val="24"/>
          <w:szCs w:val="24"/>
        </w:rPr>
        <w:t>拓展全新的产品应用空间。</w:t>
      </w:r>
    </w:p>
    <w:p>
      <w:pPr>
        <w:adjustRightInd w:val="0"/>
        <w:snapToGrid w:val="0"/>
        <w:spacing w:before="156" w:beforeLines="50" w:after="0" w:line="300" w:lineRule="auto"/>
        <w:ind w:firstLine="480" w:firstLineChars="200"/>
        <w:rPr>
          <w:rFonts w:hint="eastAsia" w:ascii="宋体" w:hAnsi="宋体"/>
          <w:sz w:val="24"/>
          <w:szCs w:val="24"/>
          <w:lang w:eastAsia="zh-CN"/>
        </w:rPr>
      </w:pPr>
      <w:r>
        <w:rPr>
          <w:rFonts w:hint="eastAsia" w:ascii="宋体" w:hAnsi="宋体"/>
          <w:sz w:val="24"/>
          <w:szCs w:val="24"/>
        </w:rPr>
        <w:t>白银图微新材料科技有限公司</w:t>
      </w:r>
      <w:r>
        <w:rPr>
          <w:rFonts w:hint="eastAsia" w:ascii="宋体" w:hAnsi="宋体"/>
          <w:sz w:val="24"/>
          <w:szCs w:val="24"/>
          <w:lang w:eastAsia="zh-CN"/>
        </w:rPr>
        <w:t>由杰出的归国留学人员、国家青年千人计划蒋先兴博士创办，集中了特种工程塑料合成与加工领域的多为专家、博士，拥有</w:t>
      </w:r>
      <w:r>
        <w:rPr>
          <w:rFonts w:hint="eastAsia" w:ascii="宋体" w:hAnsi="宋体"/>
          <w:sz w:val="24"/>
          <w:szCs w:val="24"/>
        </w:rPr>
        <w:t>新</w:t>
      </w:r>
      <w:bookmarkStart w:id="0" w:name="_GoBack"/>
      <w:bookmarkEnd w:id="0"/>
      <w:r>
        <w:rPr>
          <w:rFonts w:hint="eastAsia" w:ascii="宋体" w:hAnsi="宋体"/>
          <w:sz w:val="24"/>
          <w:szCs w:val="24"/>
        </w:rPr>
        <w:t>型</w:t>
      </w:r>
      <w:r>
        <w:rPr>
          <w:rFonts w:hint="eastAsia" w:ascii="宋体" w:hAnsi="宋体"/>
          <w:sz w:val="24"/>
          <w:szCs w:val="24"/>
          <w:lang w:eastAsia="zh-CN"/>
        </w:rPr>
        <w:t>特种工程塑料</w:t>
      </w:r>
      <w:r>
        <w:rPr>
          <w:rFonts w:hint="eastAsia" w:ascii="宋体" w:hAnsi="宋体"/>
          <w:sz w:val="24"/>
          <w:szCs w:val="24"/>
          <w:lang w:val="en-US" w:eastAsia="zh-CN"/>
        </w:rPr>
        <w:t>-</w:t>
      </w:r>
      <w:r>
        <w:rPr>
          <w:rFonts w:hint="eastAsia" w:ascii="宋体" w:hAnsi="宋体"/>
          <w:sz w:val="24"/>
          <w:szCs w:val="24"/>
        </w:rPr>
        <w:t>聚硫酸酯类高分子材料</w:t>
      </w:r>
      <w:r>
        <w:rPr>
          <w:rFonts w:hint="eastAsia" w:ascii="宋体" w:hAnsi="宋体"/>
          <w:sz w:val="24"/>
          <w:szCs w:val="24"/>
          <w:lang w:eastAsia="zh-CN"/>
        </w:rPr>
        <w:t>全球第一份专利</w:t>
      </w:r>
      <w:r>
        <w:rPr>
          <w:rFonts w:hint="eastAsia" w:ascii="宋体" w:hAnsi="宋体"/>
          <w:sz w:val="24"/>
          <w:szCs w:val="24"/>
        </w:rPr>
        <w:t>，</w:t>
      </w:r>
      <w:r>
        <w:rPr>
          <w:rFonts w:hint="eastAsia" w:ascii="宋体" w:hAnsi="宋体"/>
          <w:sz w:val="24"/>
          <w:szCs w:val="24"/>
          <w:lang w:eastAsia="zh-CN"/>
        </w:rPr>
        <w:t>并在不断的改进创新中形成了新的核心技术和</w:t>
      </w:r>
      <w:r>
        <w:rPr>
          <w:rFonts w:hint="eastAsia" w:ascii="宋体" w:hAnsi="宋体"/>
          <w:sz w:val="24"/>
          <w:szCs w:val="24"/>
          <w:lang w:val="en-US" w:eastAsia="zh-CN"/>
        </w:rPr>
        <w:t>PCT专利，处于国际领先地位。该技术是国内第一份具有原创性的、独立于特种现有工程塑料的全新工程塑料，改写了国内塑料开发的历史，</w:t>
      </w:r>
      <w:r>
        <w:rPr>
          <w:rFonts w:hint="eastAsia" w:ascii="宋体" w:hAnsi="宋体"/>
          <w:sz w:val="24"/>
          <w:szCs w:val="24"/>
        </w:rPr>
        <w:t>打破国外巨头对工程聚酯制造技术和工艺工程化技术的垄断与封锁</w:t>
      </w:r>
      <w:r>
        <w:rPr>
          <w:rFonts w:hint="eastAsia" w:ascii="宋体" w:hAnsi="宋体"/>
          <w:sz w:val="24"/>
          <w:szCs w:val="24"/>
          <w:lang w:eastAsia="zh-CN"/>
        </w:rPr>
        <w:t>，意义重大。</w:t>
      </w:r>
    </w:p>
    <w:p>
      <w:pPr>
        <w:adjustRightInd w:val="0"/>
        <w:snapToGrid w:val="0"/>
        <w:spacing w:before="156" w:beforeLines="50" w:after="0" w:line="30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聚硫酸酯性能优异，成本低廉，合成工艺相对温和可控，可以广泛替代聚砜、聚碳酸酯等特种工程塑料，在汽车、电子电器、航空航天、医疗保健、工程机械等领域具有广泛的应用。聚硫酸酯在生产过程中大量固定二氧化硫等大气污染物，是集环保效益与经济效益与一体的新型绿色材料，未来具有极为广阔的市场前景，足以形成百亿级的新兴工程塑料市场。</w:t>
      </w:r>
    </w:p>
    <w:p>
      <w:pPr>
        <w:adjustRightInd w:val="0"/>
        <w:snapToGrid w:val="0"/>
        <w:spacing w:before="156" w:beforeLines="50" w:after="0" w:line="300" w:lineRule="auto"/>
        <w:ind w:firstLine="480"/>
        <w:rPr>
          <w:rFonts w:hint="eastAsia" w:ascii="宋体" w:hAnsi="宋体"/>
          <w:sz w:val="24"/>
          <w:szCs w:val="24"/>
          <w:lang w:val="en-US" w:eastAsia="zh-CN"/>
        </w:rPr>
      </w:pPr>
      <w:r>
        <w:rPr>
          <w:rFonts w:hint="eastAsia" w:ascii="宋体" w:hAnsi="宋体"/>
          <w:sz w:val="24"/>
          <w:szCs w:val="24"/>
        </w:rPr>
        <w:t>公司</w:t>
      </w:r>
      <w:r>
        <w:rPr>
          <w:rFonts w:hint="eastAsia" w:ascii="宋体" w:hAnsi="宋体"/>
          <w:sz w:val="24"/>
          <w:szCs w:val="24"/>
          <w:lang w:eastAsia="zh-CN"/>
        </w:rPr>
        <w:t>于</w:t>
      </w:r>
      <w:r>
        <w:rPr>
          <w:rFonts w:hint="eastAsia" w:ascii="宋体" w:hAnsi="宋体"/>
          <w:sz w:val="24"/>
          <w:szCs w:val="24"/>
          <w:lang w:val="en-US" w:eastAsia="zh-CN"/>
        </w:rPr>
        <w:t>2018年1月获得风险投资1000万元，公司发展进入了快车道，1000吨/年的中试车间建设已经启动。</w:t>
      </w:r>
    </w:p>
    <w:p>
      <w:pPr>
        <w:adjustRightInd w:val="0"/>
        <w:snapToGrid w:val="0"/>
        <w:spacing w:before="156" w:beforeLines="50" w:after="0" w:line="300" w:lineRule="auto"/>
        <w:ind w:firstLine="480"/>
        <w:rPr>
          <w:rFonts w:hint="eastAsia" w:ascii="宋体" w:hAnsi="宋体"/>
          <w:sz w:val="24"/>
          <w:szCs w:val="24"/>
          <w:lang w:val="en-US" w:eastAsia="zh-CN"/>
        </w:rPr>
      </w:pPr>
      <w:r>
        <w:rPr>
          <w:rFonts w:hint="eastAsia" w:ascii="宋体" w:hAnsi="宋体"/>
          <w:sz w:val="24"/>
          <w:szCs w:val="24"/>
          <w:lang w:val="en-US" w:eastAsia="zh-CN"/>
        </w:rPr>
        <w:t>乘风破浪会有时，直挂云帆济沧海，白银图微新材料科技有限公司必将在新时代的创新浪潮中成就做最好的工程塑料的梦想！</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215"/>
        <w:gridCol w:w="3975"/>
        <w:gridCol w:w="11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 w:type="dxa"/>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序号</w:t>
            </w:r>
          </w:p>
        </w:tc>
        <w:tc>
          <w:tcPr>
            <w:tcW w:w="1215" w:type="dxa"/>
            <w:vAlign w:val="top"/>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lang w:val="en-US" w:eastAsia="zh-CN"/>
              </w:rPr>
              <w:t>招聘岗位</w:t>
            </w:r>
          </w:p>
        </w:tc>
        <w:tc>
          <w:tcPr>
            <w:tcW w:w="3975" w:type="dxa"/>
            <w:vAlign w:val="top"/>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招聘要求</w:t>
            </w:r>
          </w:p>
        </w:tc>
        <w:tc>
          <w:tcPr>
            <w:tcW w:w="1185" w:type="dxa"/>
            <w:vAlign w:val="top"/>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招聘人数</w:t>
            </w:r>
          </w:p>
        </w:tc>
        <w:tc>
          <w:tcPr>
            <w:tcW w:w="1276" w:type="dxa"/>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 w:type="dxa"/>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1</w:t>
            </w:r>
          </w:p>
        </w:tc>
        <w:tc>
          <w:tcPr>
            <w:tcW w:w="1215" w:type="dxa"/>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研发助理（合成方向）</w:t>
            </w:r>
          </w:p>
        </w:tc>
        <w:tc>
          <w:tcPr>
            <w:tcW w:w="3975" w:type="dxa"/>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主要从事高分子材料的合成、改性等工作。要求材料化学、高分化学、有机化学等专业，具有扎实的理论基础和实验技能，沟通能力较好。</w:t>
            </w:r>
          </w:p>
        </w:tc>
        <w:tc>
          <w:tcPr>
            <w:tcW w:w="1185" w:type="dxa"/>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5</w:t>
            </w:r>
          </w:p>
        </w:tc>
        <w:tc>
          <w:tcPr>
            <w:tcW w:w="1276" w:type="dxa"/>
            <w:vMerge w:val="restart"/>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周先生：</w:t>
            </w:r>
          </w:p>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18928163156</w:t>
            </w:r>
          </w:p>
          <w:p>
            <w:pPr>
              <w:widowControl w:val="0"/>
              <w:adjustRightInd w:val="0"/>
              <w:snapToGrid w:val="0"/>
              <w:spacing w:before="156" w:beforeLines="50" w:after="0" w:line="300" w:lineRule="auto"/>
              <w:jc w:val="both"/>
              <w:rPr>
                <w:rFonts w:hint="eastAsia" w:ascii="宋体" w:hAnsi="宋体" w:eastAsiaTheme="minorEastAsia"/>
                <w:sz w:val="24"/>
                <w:szCs w:val="24"/>
                <w:vertAlign w:val="baseline"/>
                <w:lang w:val="en-US" w:eastAsia="zh-CN"/>
              </w:rPr>
            </w:pPr>
            <w:r>
              <w:rPr>
                <w:rFonts w:hint="eastAsia" w:ascii="宋体" w:hAnsi="宋体"/>
                <w:sz w:val="24"/>
                <w:szCs w:val="24"/>
                <w:vertAlign w:val="baseline"/>
                <w:lang w:val="en-US" w:eastAsia="zh-CN"/>
              </w:rPr>
              <w:t>yunbin_z@163.com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 w:type="dxa"/>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2</w:t>
            </w:r>
          </w:p>
        </w:tc>
        <w:tc>
          <w:tcPr>
            <w:tcW w:w="1215" w:type="dxa"/>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研发助理（加工方向）</w:t>
            </w:r>
          </w:p>
        </w:tc>
        <w:tc>
          <w:tcPr>
            <w:tcW w:w="3975" w:type="dxa"/>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主要从事高分子材料的加工、共混等工作。要求材料化学、高分化学、或相关专业，具有扎实的理论基础和实验技能，沟通能力较好。</w:t>
            </w:r>
          </w:p>
        </w:tc>
        <w:tc>
          <w:tcPr>
            <w:tcW w:w="1185" w:type="dxa"/>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5</w:t>
            </w:r>
          </w:p>
        </w:tc>
        <w:tc>
          <w:tcPr>
            <w:tcW w:w="1276" w:type="dxa"/>
            <w:vMerge w:val="continue"/>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 w:type="dxa"/>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3</w:t>
            </w:r>
          </w:p>
        </w:tc>
        <w:tc>
          <w:tcPr>
            <w:tcW w:w="1215" w:type="dxa"/>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行政文员</w:t>
            </w:r>
          </w:p>
        </w:tc>
        <w:tc>
          <w:tcPr>
            <w:tcW w:w="3975" w:type="dxa"/>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有较强的沟通能力和文字表达能力，理工科优先。</w:t>
            </w:r>
          </w:p>
        </w:tc>
        <w:tc>
          <w:tcPr>
            <w:tcW w:w="1185" w:type="dxa"/>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1</w:t>
            </w:r>
          </w:p>
        </w:tc>
        <w:tc>
          <w:tcPr>
            <w:tcW w:w="1276" w:type="dxa"/>
            <w:vMerge w:val="continue"/>
          </w:tcPr>
          <w:p>
            <w:pPr>
              <w:widowControl w:val="0"/>
              <w:adjustRightInd w:val="0"/>
              <w:snapToGrid w:val="0"/>
              <w:spacing w:before="156" w:beforeLines="50" w:after="0" w:line="300" w:lineRule="auto"/>
              <w:jc w:val="both"/>
              <w:rPr>
                <w:rFonts w:hint="eastAsia" w:ascii="宋体" w:hAnsi="宋体"/>
                <w:sz w:val="24"/>
                <w:szCs w:val="24"/>
                <w:vertAlign w:val="baseline"/>
                <w:lang w:val="en-US" w:eastAsia="zh-CN"/>
              </w:rPr>
            </w:pPr>
          </w:p>
        </w:tc>
      </w:tr>
    </w:tbl>
    <w:p>
      <w:pPr>
        <w:adjustRightInd w:val="0"/>
        <w:snapToGrid w:val="0"/>
        <w:spacing w:before="156" w:beforeLines="50" w:after="0" w:line="300" w:lineRule="auto"/>
        <w:ind w:firstLine="480"/>
        <w:rPr>
          <w:rFonts w:hint="eastAsia" w:ascii="宋体" w:hAnsi="宋体" w:eastAsiaTheme="minorEastAsia"/>
          <w:sz w:val="24"/>
          <w:szCs w:val="24"/>
          <w:lang w:val="en-US" w:eastAsia="zh-CN"/>
        </w:rPr>
      </w:pPr>
      <w:r>
        <w:rPr>
          <w:rFonts w:hint="eastAsia" w:ascii="宋体" w:hAnsi="宋体"/>
          <w:sz w:val="24"/>
          <w:szCs w:val="24"/>
          <w:lang w:val="en-US" w:eastAsia="zh-CN"/>
        </w:rPr>
        <w:t>我公司将会提供具有竞争力的薪酬、五险一金、广阔的发展空间，提供良好的食宿安排，欢迎有志之士加盟，共同推进新材料事业。</w:t>
      </w:r>
    </w:p>
    <w:p>
      <w:pPr>
        <w:rPr>
          <w:rFonts w:hint="eastAsia" w:eastAsia="宋体"/>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22E0A"/>
    <w:rsid w:val="24B11157"/>
    <w:rsid w:val="2ED47DCC"/>
    <w:rsid w:val="4306131E"/>
    <w:rsid w:val="557D3C7D"/>
    <w:rsid w:val="6B623510"/>
    <w:rsid w:val="7E102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52" w:lineRule="auto"/>
    </w:pPr>
    <w:rPr>
      <w:rFonts w:asciiTheme="minorHAnsi" w:hAnsiTheme="minorHAnsi" w:eastAsiaTheme="minorEastAsia" w:cstheme="minorBidi"/>
      <w:sz w:val="22"/>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JEFF1420383563</cp:lastModifiedBy>
  <dcterms:modified xsi:type="dcterms:W3CDTF">2018-03-01T05:41:15Z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